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7" w:rsidRPr="00317C74" w:rsidRDefault="004251E1" w:rsidP="006E6147">
      <w:pPr>
        <w:spacing w:after="0" w:line="240" w:lineRule="auto"/>
        <w:jc w:val="center"/>
        <w:rPr>
          <w:b/>
          <w:sz w:val="24"/>
          <w:szCs w:val="24"/>
        </w:rPr>
      </w:pPr>
      <w:r w:rsidRPr="00317C74">
        <w:rPr>
          <w:b/>
          <w:sz w:val="24"/>
          <w:szCs w:val="24"/>
        </w:rPr>
        <w:t>GREENGATES MEDICAL GROUP</w:t>
      </w:r>
    </w:p>
    <w:p w:rsidR="004251E1" w:rsidRPr="00317C74" w:rsidRDefault="004251E1" w:rsidP="006E6147">
      <w:pPr>
        <w:spacing w:after="0" w:line="240" w:lineRule="auto"/>
        <w:jc w:val="center"/>
        <w:rPr>
          <w:b/>
          <w:sz w:val="24"/>
          <w:szCs w:val="24"/>
        </w:rPr>
      </w:pPr>
      <w:r w:rsidRPr="00317C74">
        <w:rPr>
          <w:b/>
          <w:sz w:val="24"/>
          <w:szCs w:val="24"/>
        </w:rPr>
        <w:t>COTTINGHAM MEDICAL CENTRE</w:t>
      </w:r>
      <w:r w:rsidR="00EA7D0E" w:rsidRPr="00317C74">
        <w:rPr>
          <w:b/>
          <w:sz w:val="24"/>
          <w:szCs w:val="24"/>
        </w:rPr>
        <w:t xml:space="preserve"> PATIENT PARTICIPATION GROUP</w:t>
      </w:r>
    </w:p>
    <w:p w:rsidR="004251E1" w:rsidRDefault="004251E1" w:rsidP="006E6147">
      <w:pPr>
        <w:spacing w:after="0" w:line="240" w:lineRule="auto"/>
        <w:jc w:val="center"/>
        <w:rPr>
          <w:b/>
          <w:sz w:val="24"/>
          <w:szCs w:val="24"/>
        </w:rPr>
      </w:pPr>
      <w:r w:rsidRPr="00317C74">
        <w:rPr>
          <w:b/>
          <w:sz w:val="24"/>
          <w:szCs w:val="24"/>
        </w:rPr>
        <w:t>MEETING</w:t>
      </w:r>
      <w:r w:rsidR="00EA7D0E" w:rsidRPr="00317C74">
        <w:rPr>
          <w:b/>
          <w:sz w:val="24"/>
          <w:szCs w:val="24"/>
        </w:rPr>
        <w:t xml:space="preserve"> </w:t>
      </w:r>
      <w:r w:rsidR="006E6147" w:rsidRPr="00317C74">
        <w:rPr>
          <w:b/>
          <w:sz w:val="24"/>
          <w:szCs w:val="24"/>
        </w:rPr>
        <w:t>NOTES</w:t>
      </w:r>
      <w:r w:rsidR="006E6147">
        <w:rPr>
          <w:b/>
          <w:sz w:val="24"/>
          <w:szCs w:val="24"/>
        </w:rPr>
        <w:t xml:space="preserve"> </w:t>
      </w:r>
      <w:r w:rsidR="00B61217">
        <w:rPr>
          <w:b/>
          <w:sz w:val="24"/>
          <w:szCs w:val="24"/>
        </w:rPr>
        <w:t>22 January 2019</w:t>
      </w:r>
    </w:p>
    <w:p w:rsidR="006E6147" w:rsidRPr="00317C74" w:rsidRDefault="006E6147" w:rsidP="006E6147">
      <w:pPr>
        <w:spacing w:after="0" w:line="240" w:lineRule="auto"/>
        <w:jc w:val="center"/>
        <w:rPr>
          <w:b/>
          <w:sz w:val="24"/>
          <w:szCs w:val="24"/>
        </w:rPr>
      </w:pPr>
    </w:p>
    <w:p w:rsidR="00A37B72" w:rsidRPr="00B738CD" w:rsidRDefault="00A37B72" w:rsidP="00B738CD">
      <w:pPr>
        <w:pStyle w:val="NoSpacing"/>
        <w:rPr>
          <w:sz w:val="24"/>
          <w:szCs w:val="24"/>
        </w:rPr>
      </w:pPr>
      <w:r w:rsidRPr="00B738CD">
        <w:rPr>
          <w:b/>
          <w:sz w:val="24"/>
          <w:szCs w:val="24"/>
        </w:rPr>
        <w:t>Present</w:t>
      </w:r>
      <w:r w:rsidR="00E3701B" w:rsidRPr="00B738CD">
        <w:rPr>
          <w:b/>
          <w:sz w:val="24"/>
          <w:szCs w:val="24"/>
        </w:rPr>
        <w:t>:</w:t>
      </w:r>
      <w:r w:rsidRPr="00B738CD">
        <w:rPr>
          <w:sz w:val="24"/>
          <w:szCs w:val="24"/>
        </w:rPr>
        <w:t xml:space="preserve"> </w:t>
      </w:r>
      <w:r w:rsidR="00586ED3" w:rsidRPr="00B738CD">
        <w:rPr>
          <w:sz w:val="24"/>
          <w:szCs w:val="24"/>
        </w:rPr>
        <w:t>David Bright</w:t>
      </w:r>
      <w:r w:rsidR="00586ED3">
        <w:rPr>
          <w:sz w:val="24"/>
          <w:szCs w:val="24"/>
        </w:rPr>
        <w:t xml:space="preserve"> </w:t>
      </w:r>
      <w:r w:rsidR="003B0A5F">
        <w:rPr>
          <w:sz w:val="24"/>
          <w:szCs w:val="24"/>
        </w:rPr>
        <w:t>(Chair</w:t>
      </w:r>
      <w:r w:rsidR="007E0D8C">
        <w:rPr>
          <w:sz w:val="24"/>
          <w:szCs w:val="24"/>
        </w:rPr>
        <w:t>)</w:t>
      </w:r>
      <w:r w:rsidRPr="00B738CD">
        <w:rPr>
          <w:sz w:val="24"/>
          <w:szCs w:val="24"/>
        </w:rPr>
        <w:t>,</w:t>
      </w:r>
      <w:r w:rsidR="00B738CD" w:rsidRPr="00B738CD">
        <w:rPr>
          <w:rFonts w:ascii="Calibri" w:hAnsi="Calibri"/>
          <w:color w:val="1F497D"/>
          <w:sz w:val="24"/>
          <w:szCs w:val="24"/>
        </w:rPr>
        <w:t xml:space="preserve"> </w:t>
      </w:r>
      <w:r w:rsidR="00586ED3" w:rsidRPr="00904CA9">
        <w:rPr>
          <w:rFonts w:ascii="Calibri" w:hAnsi="Calibri"/>
        </w:rPr>
        <w:t>Sue Clough</w:t>
      </w:r>
      <w:r w:rsidR="00586ED3">
        <w:rPr>
          <w:rFonts w:ascii="Calibri" w:hAnsi="Calibri"/>
        </w:rPr>
        <w:t>,</w:t>
      </w:r>
      <w:r w:rsidRPr="00B738CD">
        <w:rPr>
          <w:sz w:val="24"/>
          <w:szCs w:val="24"/>
        </w:rPr>
        <w:t xml:space="preserve"> David Webster, Julia Marten</w:t>
      </w:r>
      <w:r w:rsidR="00BB3EBA" w:rsidRPr="00B738CD">
        <w:rPr>
          <w:sz w:val="24"/>
          <w:szCs w:val="24"/>
        </w:rPr>
        <w:t>,</w:t>
      </w:r>
    </w:p>
    <w:p w:rsidR="00B738CD" w:rsidRDefault="00E3701B" w:rsidP="00B738CD">
      <w:pPr>
        <w:pStyle w:val="NoSpacing"/>
        <w:rPr>
          <w:sz w:val="24"/>
          <w:szCs w:val="24"/>
        </w:rPr>
      </w:pPr>
      <w:r w:rsidRPr="00B738CD">
        <w:rPr>
          <w:sz w:val="24"/>
          <w:szCs w:val="24"/>
        </w:rPr>
        <w:t xml:space="preserve">Ann Wordingham, </w:t>
      </w:r>
      <w:r w:rsidR="00586ED3">
        <w:rPr>
          <w:sz w:val="24"/>
          <w:szCs w:val="24"/>
        </w:rPr>
        <w:t>Janice Wayne, Vivien Lorne, Pat Tomlinson</w:t>
      </w:r>
      <w:r w:rsidR="006E6147">
        <w:rPr>
          <w:rFonts w:ascii="Calibri" w:hAnsi="Calibri"/>
          <w:sz w:val="24"/>
          <w:szCs w:val="24"/>
        </w:rPr>
        <w:t xml:space="preserve">. </w:t>
      </w:r>
      <w:r w:rsidR="007E0D8C" w:rsidRPr="006E6147">
        <w:rPr>
          <w:b/>
          <w:sz w:val="24"/>
          <w:szCs w:val="24"/>
        </w:rPr>
        <w:t>Staff</w:t>
      </w:r>
      <w:r w:rsidR="007E0D8C">
        <w:rPr>
          <w:sz w:val="24"/>
          <w:szCs w:val="24"/>
        </w:rPr>
        <w:t xml:space="preserve">: Caroline Maw, </w:t>
      </w:r>
      <w:r w:rsidR="00286A44">
        <w:rPr>
          <w:sz w:val="24"/>
          <w:szCs w:val="24"/>
        </w:rPr>
        <w:t>Maria Raper,</w:t>
      </w:r>
      <w:r w:rsidR="001A42B1">
        <w:rPr>
          <w:sz w:val="24"/>
          <w:szCs w:val="24"/>
        </w:rPr>
        <w:t xml:space="preserve"> </w:t>
      </w:r>
      <w:r w:rsidR="0034236B">
        <w:rPr>
          <w:sz w:val="24"/>
          <w:szCs w:val="24"/>
        </w:rPr>
        <w:t xml:space="preserve">Pat Sands, </w:t>
      </w:r>
      <w:r w:rsidR="00286A44">
        <w:rPr>
          <w:sz w:val="24"/>
          <w:szCs w:val="24"/>
        </w:rPr>
        <w:t xml:space="preserve">Dr. </w:t>
      </w:r>
      <w:r w:rsidR="0034236B">
        <w:rPr>
          <w:sz w:val="24"/>
          <w:szCs w:val="24"/>
        </w:rPr>
        <w:t xml:space="preserve">Vengala, David </w:t>
      </w:r>
      <w:r w:rsidR="0034236B" w:rsidRPr="00A14E2E">
        <w:rPr>
          <w:sz w:val="24"/>
          <w:szCs w:val="24"/>
        </w:rPr>
        <w:t>M</w:t>
      </w:r>
      <w:r w:rsidR="00586ED3" w:rsidRPr="00A14E2E">
        <w:rPr>
          <w:sz w:val="24"/>
          <w:szCs w:val="24"/>
        </w:rPr>
        <w:t>iller</w:t>
      </w:r>
    </w:p>
    <w:p w:rsidR="006E6147" w:rsidRPr="00B738CD" w:rsidRDefault="006E6147" w:rsidP="00B738C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1834"/>
        <w:gridCol w:w="6786"/>
      </w:tblGrid>
      <w:tr w:rsidR="00171B47" w:rsidTr="005E2684">
        <w:trPr>
          <w:trHeight w:val="509"/>
        </w:trPr>
        <w:tc>
          <w:tcPr>
            <w:tcW w:w="622" w:type="dxa"/>
          </w:tcPr>
          <w:p w:rsidR="00171B47" w:rsidRPr="00317C74" w:rsidRDefault="0069221D" w:rsidP="0042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1B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20" w:type="dxa"/>
            <w:gridSpan w:val="2"/>
          </w:tcPr>
          <w:p w:rsidR="00171B47" w:rsidRPr="00317C74" w:rsidRDefault="00171B47" w:rsidP="00BB3E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17382B">
              <w:rPr>
                <w:rFonts w:ascii="Calibri" w:hAnsi="Calibri"/>
                <w:sz w:val="24"/>
                <w:szCs w:val="24"/>
              </w:rPr>
              <w:t>Chair</w:t>
            </w:r>
            <w:r>
              <w:rPr>
                <w:rFonts w:ascii="Calibri" w:hAnsi="Calibri"/>
                <w:sz w:val="24"/>
                <w:szCs w:val="24"/>
              </w:rPr>
              <w:t xml:space="preserve"> we</w:t>
            </w:r>
            <w:r w:rsidR="00BB3EBA">
              <w:rPr>
                <w:rFonts w:ascii="Calibri" w:hAnsi="Calibri"/>
                <w:sz w:val="24"/>
                <w:szCs w:val="24"/>
              </w:rPr>
              <w:t>lcomed everyone to the meeting.</w:t>
            </w:r>
          </w:p>
        </w:tc>
      </w:tr>
      <w:tr w:rsidR="004251E1" w:rsidTr="006E6147">
        <w:trPr>
          <w:trHeight w:val="509"/>
        </w:trPr>
        <w:tc>
          <w:tcPr>
            <w:tcW w:w="622" w:type="dxa"/>
          </w:tcPr>
          <w:p w:rsidR="004251E1" w:rsidRPr="00317C74" w:rsidRDefault="000909B1" w:rsidP="0069221D">
            <w:pPr>
              <w:tabs>
                <w:tab w:val="left" w:pos="165"/>
              </w:tabs>
              <w:rPr>
                <w:sz w:val="24"/>
                <w:szCs w:val="24"/>
              </w:rPr>
            </w:pPr>
            <w:r w:rsidRPr="00317C74">
              <w:rPr>
                <w:sz w:val="24"/>
                <w:szCs w:val="24"/>
              </w:rPr>
              <w:t xml:space="preserve"> </w:t>
            </w:r>
            <w:r w:rsidR="0069221D">
              <w:rPr>
                <w:sz w:val="24"/>
                <w:szCs w:val="24"/>
              </w:rPr>
              <w:t xml:space="preserve"> </w:t>
            </w:r>
            <w:r w:rsidR="008913B4">
              <w:rPr>
                <w:sz w:val="24"/>
                <w:szCs w:val="24"/>
              </w:rPr>
              <w:t>2</w:t>
            </w:r>
            <w:r w:rsidR="004251E1"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71B47" w:rsidRPr="00317C74" w:rsidRDefault="004251E1" w:rsidP="00171B47">
            <w:pPr>
              <w:rPr>
                <w:rFonts w:ascii="Calibri" w:hAnsi="Calibri"/>
                <w:sz w:val="24"/>
                <w:szCs w:val="24"/>
              </w:rPr>
            </w:pPr>
            <w:r w:rsidRPr="00317C74">
              <w:rPr>
                <w:rFonts w:ascii="Calibri" w:hAnsi="Calibri"/>
                <w:sz w:val="24"/>
                <w:szCs w:val="24"/>
              </w:rPr>
              <w:t>Apologies</w:t>
            </w:r>
            <w:r w:rsidR="007E0D8C">
              <w:rPr>
                <w:sz w:val="24"/>
                <w:szCs w:val="24"/>
              </w:rPr>
              <w:t xml:space="preserve"> </w:t>
            </w:r>
          </w:p>
          <w:p w:rsidR="004251E1" w:rsidRPr="00317C74" w:rsidRDefault="004251E1" w:rsidP="008913B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86" w:type="dxa"/>
          </w:tcPr>
          <w:p w:rsidR="00904CA9" w:rsidRPr="00317C74" w:rsidRDefault="00586ED3" w:rsidP="00586ED3">
            <w:pPr>
              <w:rPr>
                <w:rFonts w:ascii="Calibri" w:hAnsi="Calibri"/>
                <w:sz w:val="24"/>
                <w:szCs w:val="24"/>
              </w:rPr>
            </w:pPr>
            <w:r w:rsidRPr="00B738CD">
              <w:rPr>
                <w:sz w:val="24"/>
                <w:szCs w:val="24"/>
              </w:rPr>
              <w:t>Ros Jump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&amp; </w:t>
            </w:r>
            <w:r w:rsidRPr="00317C74">
              <w:rPr>
                <w:rFonts w:ascii="Calibri" w:hAnsi="Calibri"/>
                <w:sz w:val="24"/>
                <w:szCs w:val="24"/>
              </w:rPr>
              <w:t>Mike Harness</w:t>
            </w:r>
            <w:r w:rsidRPr="00B738CD">
              <w:rPr>
                <w:sz w:val="24"/>
                <w:szCs w:val="24"/>
              </w:rPr>
              <w:t xml:space="preserve"> </w:t>
            </w:r>
          </w:p>
        </w:tc>
      </w:tr>
      <w:tr w:rsidR="00171B47" w:rsidTr="005E2684">
        <w:tc>
          <w:tcPr>
            <w:tcW w:w="622" w:type="dxa"/>
          </w:tcPr>
          <w:p w:rsidR="00171B47" w:rsidRDefault="00171B47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20" w:type="dxa"/>
            <w:gridSpan w:val="2"/>
          </w:tcPr>
          <w:p w:rsidR="00171B47" w:rsidRDefault="00171B47" w:rsidP="00EA405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notes of the previous meeting had been </w:t>
            </w:r>
            <w:r w:rsidR="006E6147">
              <w:rPr>
                <w:rFonts w:ascii="Calibri" w:hAnsi="Calibri"/>
                <w:sz w:val="24"/>
                <w:szCs w:val="24"/>
              </w:rPr>
              <w:t>circulated</w:t>
            </w:r>
          </w:p>
          <w:p w:rsidR="00453289" w:rsidRPr="00317C74" w:rsidRDefault="00453289" w:rsidP="00AB4EE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251E1" w:rsidTr="006E6147">
        <w:tc>
          <w:tcPr>
            <w:tcW w:w="622" w:type="dxa"/>
          </w:tcPr>
          <w:p w:rsidR="004251E1" w:rsidRPr="00317C74" w:rsidRDefault="008913B4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51E1"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BC075C" w:rsidRPr="00317C74" w:rsidRDefault="00AB4EEE" w:rsidP="00BC07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Matters Arising</w:t>
            </w:r>
          </w:p>
        </w:tc>
        <w:tc>
          <w:tcPr>
            <w:tcW w:w="6786" w:type="dxa"/>
          </w:tcPr>
          <w:p w:rsidR="00586ED3" w:rsidRPr="00586ED3" w:rsidRDefault="00BB3EBA" w:rsidP="00586E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Sands</w:t>
            </w:r>
            <w:r w:rsidR="00586ED3" w:rsidRPr="00586ED3">
              <w:rPr>
                <w:sz w:val="24"/>
                <w:szCs w:val="24"/>
              </w:rPr>
              <w:t xml:space="preserve"> advised that the text confirmations and reminders</w:t>
            </w:r>
            <w:r w:rsidR="005248FF">
              <w:rPr>
                <w:sz w:val="24"/>
                <w:szCs w:val="24"/>
              </w:rPr>
              <w:t xml:space="preserve"> of appointments</w:t>
            </w:r>
            <w:r w:rsidR="00586ED3" w:rsidRPr="00586ED3">
              <w:rPr>
                <w:sz w:val="24"/>
                <w:szCs w:val="24"/>
              </w:rPr>
              <w:t xml:space="preserve"> were working as planned.</w:t>
            </w:r>
          </w:p>
          <w:p w:rsidR="00586ED3" w:rsidRDefault="00586ED3" w:rsidP="00586E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Nurse Prescriber will be invited to the next meeting.</w:t>
            </w:r>
          </w:p>
          <w:p w:rsidR="00586ED3" w:rsidRDefault="00586ED3" w:rsidP="00586E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Extended opening was now available, although in early development. Details </w:t>
            </w:r>
            <w:r w:rsidR="005248FF">
              <w:rPr>
                <w:sz w:val="24"/>
                <w:szCs w:val="24"/>
              </w:rPr>
              <w:t>can</w:t>
            </w:r>
            <w:r>
              <w:rPr>
                <w:sz w:val="24"/>
                <w:szCs w:val="24"/>
              </w:rPr>
              <w:t xml:space="preserve"> be obtained from the receptionist and various notices </w:t>
            </w:r>
            <w:r w:rsidR="005248FF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displayed in the surgery</w:t>
            </w:r>
            <w:r w:rsidR="005248FF">
              <w:rPr>
                <w:sz w:val="24"/>
                <w:szCs w:val="24"/>
              </w:rPr>
              <w:t xml:space="preserve"> and on the website</w:t>
            </w:r>
            <w:r>
              <w:rPr>
                <w:sz w:val="24"/>
                <w:szCs w:val="24"/>
              </w:rPr>
              <w:t xml:space="preserve">. </w:t>
            </w:r>
            <w:r w:rsidR="005248FF">
              <w:rPr>
                <w:sz w:val="24"/>
                <w:szCs w:val="24"/>
              </w:rPr>
              <w:t>Members asked if leaflets detailing arrangements could be prepared and displayed on the counter and if the new arrangements could be advertised across other locations in the village?</w:t>
            </w:r>
          </w:p>
          <w:p w:rsidR="00AB4EEE" w:rsidRPr="00BB3EBA" w:rsidRDefault="00586ED3" w:rsidP="00BB3E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other matters were included in the agenda.</w:t>
            </w:r>
          </w:p>
        </w:tc>
      </w:tr>
      <w:tr w:rsidR="0069221D" w:rsidTr="006E6147">
        <w:tc>
          <w:tcPr>
            <w:tcW w:w="622" w:type="dxa"/>
          </w:tcPr>
          <w:p w:rsidR="0069221D" w:rsidRPr="00317C74" w:rsidRDefault="0069221D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69221D" w:rsidRPr="00317C74" w:rsidRDefault="005248FF" w:rsidP="005248F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CQC outcomes </w:t>
            </w:r>
          </w:p>
        </w:tc>
        <w:tc>
          <w:tcPr>
            <w:tcW w:w="6786" w:type="dxa"/>
          </w:tcPr>
          <w:p w:rsidR="00904CA9" w:rsidRPr="00171B47" w:rsidRDefault="005248FF" w:rsidP="0083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practice was </w:t>
            </w:r>
            <w:r w:rsidR="00BB3EBA">
              <w:rPr>
                <w:sz w:val="24"/>
                <w:szCs w:val="24"/>
              </w:rPr>
              <w:t>awarded</w:t>
            </w:r>
            <w:r>
              <w:rPr>
                <w:sz w:val="24"/>
                <w:szCs w:val="24"/>
              </w:rPr>
              <w:t xml:space="preserve"> 3 goods and 2 areas for improvement. The AFIs tended to be regarding records, systems and </w:t>
            </w:r>
            <w:r w:rsidR="00BB3EBA">
              <w:rPr>
                <w:sz w:val="24"/>
                <w:szCs w:val="24"/>
              </w:rPr>
              <w:t>communication</w:t>
            </w:r>
            <w:r>
              <w:rPr>
                <w:sz w:val="24"/>
                <w:szCs w:val="24"/>
              </w:rPr>
              <w:t xml:space="preserve">. For example weak paper trails, incomplete staff </w:t>
            </w:r>
            <w:r w:rsidR="00BB3EBA">
              <w:rPr>
                <w:sz w:val="24"/>
                <w:szCs w:val="24"/>
              </w:rPr>
              <w:t>records</w:t>
            </w:r>
            <w:r>
              <w:rPr>
                <w:sz w:val="24"/>
                <w:szCs w:val="24"/>
              </w:rPr>
              <w:t xml:space="preserve"> and health </w:t>
            </w:r>
            <w:r w:rsidR="00BB3EBA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safety requirements.  The full report is on the website if members wish to read it. An action plan is already in place regarding AFIs with some already completed. A further visit will take place within the next 12 months.</w:t>
            </w:r>
          </w:p>
        </w:tc>
      </w:tr>
      <w:tr w:rsidR="0069221D" w:rsidTr="006E6147">
        <w:tc>
          <w:tcPr>
            <w:tcW w:w="622" w:type="dxa"/>
          </w:tcPr>
          <w:p w:rsidR="0069221D" w:rsidRPr="00317C74" w:rsidRDefault="0069221D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69221D" w:rsidRPr="00317C74" w:rsidRDefault="005248FF" w:rsidP="005248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Staff </w:t>
            </w:r>
            <w:r w:rsidR="00BB3EBA">
              <w:rPr>
                <w:rFonts w:ascii="Calibri" w:hAnsi="Calibri"/>
                <w:sz w:val="24"/>
                <w:szCs w:val="24"/>
              </w:rPr>
              <w:t>issues</w:t>
            </w:r>
          </w:p>
        </w:tc>
        <w:tc>
          <w:tcPr>
            <w:tcW w:w="6786" w:type="dxa"/>
          </w:tcPr>
          <w:p w:rsidR="00904CA9" w:rsidRDefault="005248FF" w:rsidP="0082266F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None</w:t>
            </w:r>
          </w:p>
          <w:p w:rsidR="0082266F" w:rsidRPr="00317C74" w:rsidRDefault="005248FF" w:rsidP="005248FF">
            <w:pPr>
              <w:pStyle w:val="NoSpacing"/>
              <w:tabs>
                <w:tab w:val="left" w:pos="279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69221D" w:rsidTr="006E6147">
        <w:tc>
          <w:tcPr>
            <w:tcW w:w="622" w:type="dxa"/>
          </w:tcPr>
          <w:p w:rsidR="0069221D" w:rsidRPr="00317C74" w:rsidRDefault="0069221D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34" w:type="dxa"/>
          </w:tcPr>
          <w:p w:rsidR="0069221D" w:rsidRPr="00317C74" w:rsidRDefault="005248FF" w:rsidP="005248F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 matters</w:t>
            </w:r>
          </w:p>
        </w:tc>
        <w:tc>
          <w:tcPr>
            <w:tcW w:w="6786" w:type="dxa"/>
          </w:tcPr>
          <w:p w:rsidR="005E2684" w:rsidRDefault="005E2684" w:rsidP="005248F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Nothing raised by CQC about </w:t>
            </w:r>
            <w:r w:rsidR="00BB3EBA">
              <w:rPr>
                <w:sz w:val="24"/>
                <w:szCs w:val="24"/>
              </w:rPr>
              <w:t>chair’s</w:t>
            </w:r>
            <w:r>
              <w:rPr>
                <w:sz w:val="24"/>
                <w:szCs w:val="24"/>
              </w:rPr>
              <w:t xml:space="preserve"> report.</w:t>
            </w:r>
          </w:p>
          <w:p w:rsidR="0069221D" w:rsidRDefault="005E2684" w:rsidP="005248F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some disappointment with the breadth and depth of </w:t>
            </w:r>
            <w:r w:rsidR="00BB3EBA">
              <w:rPr>
                <w:sz w:val="24"/>
                <w:szCs w:val="24"/>
              </w:rPr>
              <w:t>analysis</w:t>
            </w:r>
            <w:r>
              <w:rPr>
                <w:sz w:val="24"/>
                <w:szCs w:val="24"/>
              </w:rPr>
              <w:t xml:space="preserve"> of the patient questionnaire. For example lack of demographic and comparative analysis. </w:t>
            </w:r>
            <w:r w:rsidR="00BB3EBA">
              <w:rPr>
                <w:sz w:val="24"/>
                <w:szCs w:val="24"/>
              </w:rPr>
              <w:t>Members</w:t>
            </w:r>
            <w:r>
              <w:rPr>
                <w:sz w:val="24"/>
                <w:szCs w:val="24"/>
              </w:rPr>
              <w:t xml:space="preserve"> agreed to run another </w:t>
            </w:r>
            <w:r w:rsidR="00BB3EBA">
              <w:rPr>
                <w:sz w:val="24"/>
                <w:szCs w:val="24"/>
              </w:rPr>
              <w:t>patient</w:t>
            </w:r>
            <w:r>
              <w:rPr>
                <w:sz w:val="24"/>
                <w:szCs w:val="24"/>
              </w:rPr>
              <w:t xml:space="preserve"> research exercise in the coming year, possibly a more </w:t>
            </w:r>
            <w:r w:rsidR="00BB3EBA">
              <w:rPr>
                <w:sz w:val="24"/>
                <w:szCs w:val="24"/>
              </w:rPr>
              <w:t>qualitative</w:t>
            </w:r>
            <w:r>
              <w:rPr>
                <w:sz w:val="24"/>
                <w:szCs w:val="24"/>
              </w:rPr>
              <w:t xml:space="preserve"> exercise such as focus group.</w:t>
            </w:r>
          </w:p>
          <w:p w:rsidR="005E2684" w:rsidRDefault="005E2684" w:rsidP="005248F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welcomed partner attendance at the meetings which could advise on strategic </w:t>
            </w:r>
            <w:r w:rsidR="00BB3EBA">
              <w:rPr>
                <w:sz w:val="24"/>
                <w:szCs w:val="24"/>
              </w:rPr>
              <w:t>direction</w:t>
            </w:r>
            <w:r>
              <w:rPr>
                <w:sz w:val="24"/>
                <w:szCs w:val="24"/>
              </w:rPr>
              <w:t xml:space="preserve"> and policy issues. Dr Vengala advised that partners had both clinical </w:t>
            </w:r>
            <w:r w:rsidR="00BB3EBA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strategic meetings. Members were keen to understand issues and </w:t>
            </w:r>
            <w:r w:rsidR="00BB3EBA">
              <w:rPr>
                <w:sz w:val="24"/>
                <w:szCs w:val="24"/>
              </w:rPr>
              <w:t>concerns</w:t>
            </w:r>
            <w:r>
              <w:rPr>
                <w:sz w:val="24"/>
                <w:szCs w:val="24"/>
              </w:rPr>
              <w:t xml:space="preserve"> of the practice and seek ways to support the practice </w:t>
            </w:r>
            <w:r w:rsidR="00BB3EBA">
              <w:rPr>
                <w:sz w:val="24"/>
                <w:szCs w:val="24"/>
              </w:rPr>
              <w:t>through</w:t>
            </w:r>
            <w:r>
              <w:rPr>
                <w:sz w:val="24"/>
                <w:szCs w:val="24"/>
              </w:rPr>
              <w:t xml:space="preserve"> raising awareness and potential lobbying </w:t>
            </w:r>
            <w:r w:rsidR="00BB3EBA"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 xml:space="preserve"> the PPG. </w:t>
            </w:r>
            <w:r w:rsidR="00BB3EBA">
              <w:rPr>
                <w:sz w:val="24"/>
                <w:szCs w:val="24"/>
              </w:rPr>
              <w:t xml:space="preserve">Ms Maw advised that there </w:t>
            </w:r>
            <w:r w:rsidR="00BB3EBA">
              <w:rPr>
                <w:sz w:val="24"/>
                <w:szCs w:val="24"/>
              </w:rPr>
              <w:lastRenderedPageBreak/>
              <w:t xml:space="preserve">were still issues regarding GP recruitment, although the Cottingham surgery had one more GP than the national average. The trend is for GPs to </w:t>
            </w:r>
            <w:r w:rsidR="0034236B" w:rsidRPr="00A14E2E">
              <w:rPr>
                <w:sz w:val="24"/>
                <w:szCs w:val="24"/>
              </w:rPr>
              <w:t>wish to</w:t>
            </w:r>
            <w:bookmarkStart w:id="0" w:name="_GoBack"/>
            <w:bookmarkEnd w:id="0"/>
            <w:r w:rsidR="0034236B">
              <w:rPr>
                <w:sz w:val="24"/>
                <w:szCs w:val="24"/>
              </w:rPr>
              <w:t xml:space="preserve"> </w:t>
            </w:r>
            <w:r w:rsidR="00BB3EBA">
              <w:rPr>
                <w:sz w:val="24"/>
                <w:szCs w:val="24"/>
              </w:rPr>
              <w:t xml:space="preserve">remain locums to avoid the administrative and management burdens falling on permanent staff and partners. </w:t>
            </w:r>
            <w:r>
              <w:rPr>
                <w:sz w:val="24"/>
                <w:szCs w:val="24"/>
              </w:rPr>
              <w:t xml:space="preserve">The </w:t>
            </w:r>
            <w:r w:rsidR="00BB3EBA">
              <w:rPr>
                <w:sz w:val="24"/>
                <w:szCs w:val="24"/>
              </w:rPr>
              <w:t>Government</w:t>
            </w:r>
            <w:r>
              <w:rPr>
                <w:sz w:val="24"/>
                <w:szCs w:val="24"/>
              </w:rPr>
              <w:t xml:space="preserve"> is doing little to encourage GPs to become </w:t>
            </w:r>
            <w:r w:rsidR="00BB3EBA">
              <w:rPr>
                <w:sz w:val="24"/>
                <w:szCs w:val="24"/>
              </w:rPr>
              <w:t>permanent</w:t>
            </w:r>
            <w:r>
              <w:rPr>
                <w:sz w:val="24"/>
                <w:szCs w:val="24"/>
              </w:rPr>
              <w:t xml:space="preserve"> members of practices.</w:t>
            </w:r>
          </w:p>
          <w:p w:rsidR="005E2684" w:rsidRDefault="005E2684" w:rsidP="005248F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navigation has not yet been fully </w:t>
            </w:r>
            <w:r w:rsidR="00BB3EBA">
              <w:rPr>
                <w:sz w:val="24"/>
                <w:szCs w:val="24"/>
              </w:rPr>
              <w:t>implemented</w:t>
            </w:r>
            <w:r>
              <w:rPr>
                <w:sz w:val="24"/>
                <w:szCs w:val="24"/>
              </w:rPr>
              <w:t xml:space="preserve">, largely due </w:t>
            </w:r>
            <w:r w:rsidR="00BB3EBA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other more urgent demands, although some </w:t>
            </w:r>
            <w:r w:rsidR="00BB3EBA">
              <w:rPr>
                <w:sz w:val="24"/>
                <w:szCs w:val="24"/>
              </w:rPr>
              <w:t>elements</w:t>
            </w:r>
            <w:r>
              <w:rPr>
                <w:sz w:val="24"/>
                <w:szCs w:val="24"/>
              </w:rPr>
              <w:t xml:space="preserve"> are taking place </w:t>
            </w:r>
            <w:r w:rsidR="00BB3EBA">
              <w:rPr>
                <w:sz w:val="24"/>
                <w:szCs w:val="24"/>
              </w:rPr>
              <w:t>informally</w:t>
            </w:r>
            <w:r>
              <w:rPr>
                <w:sz w:val="24"/>
                <w:szCs w:val="24"/>
              </w:rPr>
              <w:t>. The recruitment of a Nurse</w:t>
            </w:r>
            <w:r w:rsidR="00B61217">
              <w:rPr>
                <w:sz w:val="24"/>
                <w:szCs w:val="24"/>
              </w:rPr>
              <w:t xml:space="preserve"> Prescriber</w:t>
            </w:r>
            <w:r>
              <w:rPr>
                <w:sz w:val="24"/>
                <w:szCs w:val="24"/>
              </w:rPr>
              <w:t xml:space="preserve"> is already showing positive results by releasing doctor appointment </w:t>
            </w:r>
            <w:r w:rsidR="00BB3EBA">
              <w:rPr>
                <w:sz w:val="24"/>
                <w:szCs w:val="24"/>
              </w:rPr>
              <w:t>times</w:t>
            </w:r>
            <w:r w:rsidR="00553126">
              <w:rPr>
                <w:sz w:val="24"/>
                <w:szCs w:val="24"/>
              </w:rPr>
              <w:t xml:space="preserve">. Ms </w:t>
            </w:r>
            <w:r w:rsidR="00BB3EBA">
              <w:rPr>
                <w:sz w:val="24"/>
                <w:szCs w:val="24"/>
              </w:rPr>
              <w:t>Sands</w:t>
            </w:r>
            <w:r w:rsidR="00553126">
              <w:rPr>
                <w:sz w:val="24"/>
                <w:szCs w:val="24"/>
              </w:rPr>
              <w:t xml:space="preserve"> advised that for the first </w:t>
            </w:r>
            <w:r w:rsidR="00BB3EBA">
              <w:rPr>
                <w:sz w:val="24"/>
                <w:szCs w:val="24"/>
              </w:rPr>
              <w:t>time</w:t>
            </w:r>
            <w:r w:rsidR="00553126">
              <w:rPr>
                <w:sz w:val="24"/>
                <w:szCs w:val="24"/>
              </w:rPr>
              <w:t xml:space="preserve"> in a while there are available appointments within the week.</w:t>
            </w:r>
          </w:p>
          <w:p w:rsidR="00A65209" w:rsidRPr="00553126" w:rsidRDefault="00553126" w:rsidP="0055312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still some issues with patient appointment </w:t>
            </w:r>
            <w:r w:rsidR="00BB3EBA">
              <w:rPr>
                <w:sz w:val="24"/>
                <w:szCs w:val="24"/>
              </w:rPr>
              <w:t>cancellations</w:t>
            </w:r>
            <w:r>
              <w:rPr>
                <w:sz w:val="24"/>
                <w:szCs w:val="24"/>
              </w:rPr>
              <w:t xml:space="preserve">, but it is difficult to identify a </w:t>
            </w:r>
            <w:r w:rsidR="00BB3EBA">
              <w:rPr>
                <w:sz w:val="24"/>
                <w:szCs w:val="24"/>
              </w:rPr>
              <w:t>fool proof</w:t>
            </w:r>
            <w:r>
              <w:rPr>
                <w:sz w:val="24"/>
                <w:szCs w:val="24"/>
              </w:rPr>
              <w:t xml:space="preserve"> way of resolving the issue.</w:t>
            </w:r>
          </w:p>
        </w:tc>
      </w:tr>
      <w:tr w:rsidR="00EC7A59" w:rsidTr="006E6147">
        <w:tc>
          <w:tcPr>
            <w:tcW w:w="622" w:type="dxa"/>
          </w:tcPr>
          <w:p w:rsidR="00EC7A59" w:rsidRDefault="00EC7A59" w:rsidP="00425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834" w:type="dxa"/>
          </w:tcPr>
          <w:p w:rsidR="00EC7A59" w:rsidRDefault="00553126" w:rsidP="004251E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Members’ issues</w:t>
            </w:r>
          </w:p>
        </w:tc>
        <w:tc>
          <w:tcPr>
            <w:tcW w:w="6786" w:type="dxa"/>
          </w:tcPr>
          <w:p w:rsidR="00EC7A59" w:rsidRDefault="00553126" w:rsidP="005531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practice confirmed that it does offer wax removal treatment, although not formally required to do so.</w:t>
            </w:r>
          </w:p>
          <w:p w:rsidR="00553126" w:rsidRDefault="00553126" w:rsidP="005531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and members think there is some value in trying to set up prevention group activities. For example to provide insight and advise on diabetes prevention and care. There is a willingness to give professional time but lack of funding </w:t>
            </w:r>
            <w:r w:rsidR="00BB3EBA">
              <w:rPr>
                <w:sz w:val="24"/>
                <w:szCs w:val="24"/>
              </w:rPr>
              <w:t>through</w:t>
            </w:r>
            <w:r>
              <w:rPr>
                <w:sz w:val="24"/>
                <w:szCs w:val="24"/>
              </w:rPr>
              <w:t xml:space="preserve"> the NHS allocations and additional costs are </w:t>
            </w:r>
            <w:r w:rsidR="00BB3EBA">
              <w:rPr>
                <w:sz w:val="24"/>
                <w:szCs w:val="24"/>
              </w:rPr>
              <w:t>prohibiting</w:t>
            </w:r>
            <w:r>
              <w:rPr>
                <w:sz w:val="24"/>
                <w:szCs w:val="24"/>
              </w:rPr>
              <w:t xml:space="preserve"> this activity. </w:t>
            </w:r>
            <w:r w:rsidR="00BB3EBA">
              <w:rPr>
                <w:sz w:val="24"/>
                <w:szCs w:val="24"/>
              </w:rPr>
              <w:t xml:space="preserve">Members asked if the social prescribing group might do this but were advised that there is overwhelming demands on its time. </w:t>
            </w:r>
            <w:r>
              <w:rPr>
                <w:sz w:val="24"/>
                <w:szCs w:val="24"/>
              </w:rPr>
              <w:t xml:space="preserve">Members to consider possibilities </w:t>
            </w:r>
            <w:r w:rsidR="00BB3EBA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to discuss further at next meeting.</w:t>
            </w:r>
          </w:p>
          <w:p w:rsidR="00904CA9" w:rsidRPr="00553126" w:rsidRDefault="00553126" w:rsidP="005531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will prepare a </w:t>
            </w:r>
            <w:r w:rsidR="00BB3EBA">
              <w:rPr>
                <w:sz w:val="24"/>
                <w:szCs w:val="24"/>
              </w:rPr>
              <w:t>general</w:t>
            </w:r>
            <w:r>
              <w:rPr>
                <w:sz w:val="24"/>
                <w:szCs w:val="24"/>
              </w:rPr>
              <w:t xml:space="preserve"> leaflet about the PPG and other </w:t>
            </w:r>
            <w:r w:rsidR="00BB3EBA">
              <w:rPr>
                <w:sz w:val="24"/>
                <w:szCs w:val="24"/>
              </w:rPr>
              <w:t>matters</w:t>
            </w:r>
            <w:r>
              <w:rPr>
                <w:sz w:val="24"/>
                <w:szCs w:val="24"/>
              </w:rPr>
              <w:t xml:space="preserve"> for distribution. The chair will coordinate its production with members input.</w:t>
            </w:r>
          </w:p>
        </w:tc>
      </w:tr>
      <w:tr w:rsidR="0069221D" w:rsidTr="006E6147">
        <w:tc>
          <w:tcPr>
            <w:tcW w:w="622" w:type="dxa"/>
          </w:tcPr>
          <w:p w:rsidR="0069221D" w:rsidRPr="00317C74" w:rsidRDefault="00EC7A59" w:rsidP="005E2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34" w:type="dxa"/>
          </w:tcPr>
          <w:p w:rsidR="0069221D" w:rsidRPr="00317C74" w:rsidRDefault="00553126" w:rsidP="005531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Role of the </w:t>
            </w:r>
            <w:r w:rsidR="00BB3EBA">
              <w:rPr>
                <w:rFonts w:ascii="Calibri" w:hAnsi="Calibri"/>
                <w:sz w:val="24"/>
                <w:szCs w:val="24"/>
              </w:rPr>
              <w:t>Practice</w:t>
            </w:r>
            <w:r>
              <w:rPr>
                <w:rFonts w:ascii="Calibri" w:hAnsi="Calibri"/>
                <w:sz w:val="24"/>
                <w:szCs w:val="24"/>
              </w:rPr>
              <w:t xml:space="preserve"> Pharmacist</w:t>
            </w:r>
          </w:p>
        </w:tc>
        <w:tc>
          <w:tcPr>
            <w:tcW w:w="6786" w:type="dxa"/>
          </w:tcPr>
          <w:p w:rsidR="0069221D" w:rsidRPr="00317C74" w:rsidRDefault="00553126" w:rsidP="00B61217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David was welcomed by the group and gave a brief </w:t>
            </w:r>
            <w:r w:rsidR="00BB3EBA">
              <w:rPr>
                <w:rFonts w:ascii="Calibri" w:hAnsi="Calibri"/>
                <w:sz w:val="24"/>
                <w:szCs w:val="24"/>
              </w:rPr>
              <w:t>biography</w:t>
            </w:r>
            <w:r>
              <w:rPr>
                <w:rFonts w:ascii="Calibri" w:hAnsi="Calibri"/>
                <w:sz w:val="24"/>
                <w:szCs w:val="24"/>
              </w:rPr>
              <w:t xml:space="preserve"> and explained his </w:t>
            </w:r>
            <w:r w:rsidR="00BB3EBA">
              <w:rPr>
                <w:rFonts w:ascii="Calibri" w:hAnsi="Calibri"/>
                <w:sz w:val="24"/>
                <w:szCs w:val="24"/>
              </w:rPr>
              <w:t>role. David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joined the practice in </w:t>
            </w:r>
            <w:r w:rsidR="00BB3EBA">
              <w:rPr>
                <w:rFonts w:ascii="Calibri" w:hAnsi="Calibri"/>
                <w:sz w:val="24"/>
                <w:szCs w:val="24"/>
              </w:rPr>
              <w:t>May and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1217">
              <w:rPr>
                <w:rFonts w:ascii="Calibri" w:hAnsi="Calibri"/>
                <w:sz w:val="24"/>
                <w:szCs w:val="24"/>
              </w:rPr>
              <w:t>is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largely engaged in dealing with clinical enquiries from Doctors, patients </w:t>
            </w:r>
            <w:r w:rsidR="00BB3EBA">
              <w:rPr>
                <w:rFonts w:ascii="Calibri" w:hAnsi="Calibri"/>
                <w:sz w:val="24"/>
                <w:szCs w:val="24"/>
              </w:rPr>
              <w:t>and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community groups. These are daily </w:t>
            </w:r>
            <w:r w:rsidR="00BB3EBA">
              <w:rPr>
                <w:rFonts w:ascii="Calibri" w:hAnsi="Calibri"/>
                <w:sz w:val="24"/>
                <w:szCs w:val="24"/>
              </w:rPr>
              <w:t>occurrences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and often ad hoc. His time is also taken with checking medications of patients on leaving hospital to ensure accurate items are prescribed and </w:t>
            </w:r>
            <w:r w:rsidR="00BB3EBA">
              <w:rPr>
                <w:rFonts w:ascii="Calibri" w:hAnsi="Calibri"/>
                <w:sz w:val="24"/>
                <w:szCs w:val="24"/>
              </w:rPr>
              <w:t>check-up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B3EBA">
              <w:rPr>
                <w:rFonts w:ascii="Calibri" w:hAnsi="Calibri"/>
                <w:sz w:val="24"/>
                <w:szCs w:val="24"/>
              </w:rPr>
              <w:t>requirements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in place. </w:t>
            </w:r>
            <w:r w:rsidR="00BB3EBA">
              <w:rPr>
                <w:rFonts w:ascii="Calibri" w:hAnsi="Calibri"/>
                <w:sz w:val="24"/>
                <w:szCs w:val="24"/>
              </w:rPr>
              <w:t xml:space="preserve">This can be quite complex and takes up a large part of his day. 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He does undertake patient reviews to ensure medication is being taken correctly and is doing its job. He has a particular </w:t>
            </w:r>
            <w:r w:rsidR="00BB3EBA">
              <w:rPr>
                <w:rFonts w:ascii="Calibri" w:hAnsi="Calibri"/>
                <w:sz w:val="24"/>
                <w:szCs w:val="24"/>
              </w:rPr>
              <w:t>involvement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with diabetes, in conjunction with Maria, working </w:t>
            </w:r>
            <w:r w:rsidR="00BB3EBA">
              <w:rPr>
                <w:rFonts w:ascii="Calibri" w:hAnsi="Calibri"/>
                <w:sz w:val="24"/>
                <w:szCs w:val="24"/>
              </w:rPr>
              <w:t>to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get glucose levels down. Any changes proposed are </w:t>
            </w:r>
            <w:r w:rsidR="00BB3EBA">
              <w:rPr>
                <w:rFonts w:ascii="Calibri" w:hAnsi="Calibri"/>
                <w:sz w:val="24"/>
                <w:szCs w:val="24"/>
              </w:rPr>
              <w:t>checked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by GPs. He is currently undertaking further training </w:t>
            </w:r>
            <w:r w:rsidR="00BB3EBA">
              <w:rPr>
                <w:rFonts w:ascii="Calibri" w:hAnsi="Calibri"/>
                <w:sz w:val="24"/>
                <w:szCs w:val="24"/>
              </w:rPr>
              <w:t>and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will be starting a prescribing course in September. Members asked about routine reviews of medication and recommendations for tests. Staff advised that this </w:t>
            </w:r>
            <w:r w:rsidR="00BB3EBA">
              <w:rPr>
                <w:rFonts w:ascii="Calibri" w:hAnsi="Calibri"/>
                <w:sz w:val="24"/>
                <w:szCs w:val="24"/>
              </w:rPr>
              <w:t>would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not be possible for all patients due to </w:t>
            </w:r>
            <w:r w:rsidR="00BB3EBA">
              <w:rPr>
                <w:rFonts w:ascii="Calibri" w:hAnsi="Calibri"/>
                <w:sz w:val="24"/>
                <w:szCs w:val="24"/>
              </w:rPr>
              <w:t>availability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and potential demand. </w:t>
            </w:r>
            <w:r w:rsidR="00BB3EBA">
              <w:rPr>
                <w:rFonts w:ascii="Calibri" w:hAnsi="Calibri"/>
                <w:sz w:val="24"/>
                <w:szCs w:val="24"/>
              </w:rPr>
              <w:t>However</w:t>
            </w:r>
            <w:r w:rsidR="0034236B">
              <w:rPr>
                <w:rFonts w:ascii="Calibri" w:hAnsi="Calibri"/>
                <w:sz w:val="24"/>
                <w:szCs w:val="24"/>
              </w:rPr>
              <w:t>,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Dr </w:t>
            </w:r>
            <w:r w:rsidR="00C70265">
              <w:rPr>
                <w:rFonts w:ascii="Calibri" w:hAnsi="Calibri"/>
                <w:sz w:val="24"/>
                <w:szCs w:val="24"/>
              </w:rPr>
              <w:lastRenderedPageBreak/>
              <w:t xml:space="preserve">Vengala clarified that GPs </w:t>
            </w:r>
            <w:r w:rsidR="00BB3EBA">
              <w:rPr>
                <w:rFonts w:ascii="Calibri" w:hAnsi="Calibri"/>
                <w:sz w:val="24"/>
                <w:szCs w:val="24"/>
              </w:rPr>
              <w:t>often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undertook these reviews as part of the appointment consultation although it might not be obvious to the patient. It is therefore important that the patient is proactive in raising </w:t>
            </w:r>
            <w:r w:rsidR="00BB3EBA">
              <w:rPr>
                <w:rFonts w:ascii="Calibri" w:hAnsi="Calibri"/>
                <w:sz w:val="24"/>
                <w:szCs w:val="24"/>
              </w:rPr>
              <w:t>concerns</w:t>
            </w:r>
            <w:r w:rsidR="00C70265">
              <w:rPr>
                <w:rFonts w:ascii="Calibri" w:hAnsi="Calibri"/>
                <w:sz w:val="24"/>
                <w:szCs w:val="24"/>
              </w:rPr>
              <w:t xml:space="preserve"> over medication.</w:t>
            </w:r>
          </w:p>
        </w:tc>
      </w:tr>
      <w:tr w:rsidR="0069221D" w:rsidTr="006E6147">
        <w:tc>
          <w:tcPr>
            <w:tcW w:w="622" w:type="dxa"/>
          </w:tcPr>
          <w:p w:rsidR="0069221D" w:rsidRPr="00317C74" w:rsidRDefault="00EC7A59" w:rsidP="005E2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9221D" w:rsidRPr="00317C74"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69221D" w:rsidRPr="00317C74" w:rsidRDefault="00817C94" w:rsidP="00817C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AOB </w:t>
            </w:r>
          </w:p>
        </w:tc>
        <w:tc>
          <w:tcPr>
            <w:tcW w:w="6786" w:type="dxa"/>
          </w:tcPr>
          <w:p w:rsidR="0069221D" w:rsidRDefault="00817C94" w:rsidP="00817C9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 </w:t>
            </w:r>
            <w:r w:rsidR="00BB3EBA">
              <w:rPr>
                <w:sz w:val="24"/>
                <w:szCs w:val="24"/>
              </w:rPr>
              <w:t>raised</w:t>
            </w:r>
            <w:r>
              <w:rPr>
                <w:sz w:val="24"/>
                <w:szCs w:val="24"/>
              </w:rPr>
              <w:t xml:space="preserve"> </w:t>
            </w:r>
            <w:r w:rsidR="00BB3EBA">
              <w:rPr>
                <w:sz w:val="24"/>
                <w:szCs w:val="24"/>
              </w:rPr>
              <w:t>concerns</w:t>
            </w:r>
            <w:r>
              <w:rPr>
                <w:sz w:val="24"/>
                <w:szCs w:val="24"/>
              </w:rPr>
              <w:t xml:space="preserve"> about patients waiting outside for appointments. Ms Sands advised that alleviation of pressures on appointment </w:t>
            </w:r>
            <w:r w:rsidR="00BB3EBA">
              <w:rPr>
                <w:sz w:val="24"/>
                <w:szCs w:val="24"/>
              </w:rPr>
              <w:t>availability</w:t>
            </w:r>
            <w:r>
              <w:rPr>
                <w:sz w:val="24"/>
                <w:szCs w:val="24"/>
              </w:rPr>
              <w:t xml:space="preserve"> should help but </w:t>
            </w:r>
            <w:r w:rsidR="00BB3EBA">
              <w:rPr>
                <w:sz w:val="24"/>
                <w:szCs w:val="24"/>
              </w:rPr>
              <w:t>clarified</w:t>
            </w:r>
            <w:r>
              <w:rPr>
                <w:sz w:val="24"/>
                <w:szCs w:val="24"/>
              </w:rPr>
              <w:t xml:space="preserve"> that no one is expected to wait outside.</w:t>
            </w:r>
          </w:p>
          <w:p w:rsidR="00904CA9" w:rsidRPr="00817C94" w:rsidRDefault="00817C94" w:rsidP="00286A4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BB3EBA">
              <w:rPr>
                <w:sz w:val="24"/>
                <w:szCs w:val="24"/>
              </w:rPr>
              <w:t>chair</w:t>
            </w:r>
            <w:r>
              <w:rPr>
                <w:sz w:val="24"/>
                <w:szCs w:val="24"/>
              </w:rPr>
              <w:t xml:space="preserve"> asked </w:t>
            </w:r>
            <w:r w:rsidR="00BB3EBA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a </w:t>
            </w:r>
            <w:r w:rsidR="00BB3EBA">
              <w:rPr>
                <w:sz w:val="24"/>
                <w:szCs w:val="24"/>
              </w:rPr>
              <w:t>representative</w:t>
            </w:r>
            <w:r>
              <w:rPr>
                <w:sz w:val="24"/>
                <w:szCs w:val="24"/>
              </w:rPr>
              <w:t xml:space="preserve"> </w:t>
            </w:r>
            <w:r w:rsidR="00BB3EBA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attend the PPG Steering Group meetings on behalf of the group and report back. Ms Wordingham agreed </w:t>
            </w:r>
            <w:r w:rsidR="00BB3EBA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do this.</w:t>
            </w:r>
          </w:p>
        </w:tc>
      </w:tr>
      <w:tr w:rsidR="00817C94" w:rsidTr="006E6147">
        <w:tc>
          <w:tcPr>
            <w:tcW w:w="622" w:type="dxa"/>
          </w:tcPr>
          <w:p w:rsidR="00817C94" w:rsidRDefault="00817C94" w:rsidP="005E2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34" w:type="dxa"/>
          </w:tcPr>
          <w:p w:rsidR="00817C94" w:rsidRDefault="00817C94" w:rsidP="00817C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DONM</w:t>
            </w:r>
          </w:p>
        </w:tc>
        <w:tc>
          <w:tcPr>
            <w:tcW w:w="6786" w:type="dxa"/>
          </w:tcPr>
          <w:p w:rsidR="00817C94" w:rsidRPr="00817C94" w:rsidRDefault="00817C94" w:rsidP="0081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 to </w:t>
            </w:r>
            <w:r w:rsidR="00BB3EBA">
              <w:rPr>
                <w:sz w:val="24"/>
                <w:szCs w:val="24"/>
              </w:rPr>
              <w:t>circulate</w:t>
            </w:r>
            <w:r>
              <w:rPr>
                <w:sz w:val="24"/>
                <w:szCs w:val="24"/>
              </w:rPr>
              <w:t xml:space="preserve"> members and determine a date in early April of after Easter.</w:t>
            </w:r>
          </w:p>
        </w:tc>
      </w:tr>
    </w:tbl>
    <w:p w:rsidR="00467814" w:rsidRPr="00695455" w:rsidRDefault="00467814">
      <w:pPr>
        <w:rPr>
          <w:b/>
          <w:sz w:val="28"/>
          <w:szCs w:val="28"/>
        </w:rPr>
      </w:pPr>
      <w:r w:rsidRPr="00695455">
        <w:rPr>
          <w:b/>
          <w:sz w:val="28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33"/>
        <w:gridCol w:w="6525"/>
      </w:tblGrid>
      <w:tr w:rsidR="00467814" w:rsidTr="00A65209">
        <w:tc>
          <w:tcPr>
            <w:tcW w:w="1384" w:type="dxa"/>
          </w:tcPr>
          <w:p w:rsidR="00467814" w:rsidRPr="00695455" w:rsidRDefault="00467814" w:rsidP="00467814">
            <w:pPr>
              <w:rPr>
                <w:b/>
                <w:sz w:val="24"/>
                <w:szCs w:val="24"/>
              </w:rPr>
            </w:pPr>
            <w:r w:rsidRPr="00695455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333" w:type="dxa"/>
          </w:tcPr>
          <w:p w:rsidR="00467814" w:rsidRPr="00695455" w:rsidRDefault="00467814" w:rsidP="00467814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5455">
              <w:rPr>
                <w:rFonts w:ascii="Calibri" w:hAnsi="Calibri"/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6525" w:type="dxa"/>
          </w:tcPr>
          <w:p w:rsidR="00467814" w:rsidRPr="00695455" w:rsidRDefault="00467814" w:rsidP="00467814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5455">
              <w:rPr>
                <w:rFonts w:ascii="Calibri" w:hAnsi="Calibri"/>
                <w:b/>
                <w:sz w:val="24"/>
                <w:szCs w:val="24"/>
              </w:rPr>
              <w:t>Action</w:t>
            </w:r>
          </w:p>
        </w:tc>
      </w:tr>
      <w:tr w:rsidR="00467814" w:rsidTr="00A65209">
        <w:tc>
          <w:tcPr>
            <w:tcW w:w="1384" w:type="dxa"/>
          </w:tcPr>
          <w:p w:rsidR="00467814" w:rsidRDefault="00467814" w:rsidP="00467814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467814" w:rsidRDefault="00817C94" w:rsidP="005E26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DONM</w:t>
            </w:r>
          </w:p>
        </w:tc>
        <w:tc>
          <w:tcPr>
            <w:tcW w:w="6525" w:type="dxa"/>
          </w:tcPr>
          <w:p w:rsidR="00467814" w:rsidRDefault="00817C94" w:rsidP="00817C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Nurse Prescriber invited to the next meeting</w:t>
            </w:r>
          </w:p>
        </w:tc>
      </w:tr>
      <w:tr w:rsidR="00467814" w:rsidTr="00A65209">
        <w:tc>
          <w:tcPr>
            <w:tcW w:w="1384" w:type="dxa"/>
          </w:tcPr>
          <w:p w:rsidR="00467814" w:rsidRDefault="00817C9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Maw</w:t>
            </w:r>
          </w:p>
        </w:tc>
        <w:tc>
          <w:tcPr>
            <w:tcW w:w="1333" w:type="dxa"/>
          </w:tcPr>
          <w:p w:rsidR="00467814" w:rsidRDefault="00904CA9" w:rsidP="005E26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Asap</w:t>
            </w:r>
          </w:p>
        </w:tc>
        <w:tc>
          <w:tcPr>
            <w:tcW w:w="6525" w:type="dxa"/>
          </w:tcPr>
          <w:p w:rsidR="00467814" w:rsidRDefault="00817C94" w:rsidP="00817C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leaflets detailing arrangements re extended hours displayed on the counter</w:t>
            </w:r>
          </w:p>
        </w:tc>
      </w:tr>
      <w:tr w:rsidR="00467814" w:rsidTr="00A65209">
        <w:tc>
          <w:tcPr>
            <w:tcW w:w="1384" w:type="dxa"/>
          </w:tcPr>
          <w:p w:rsidR="00467814" w:rsidRDefault="00817C94" w:rsidP="0081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</w:p>
        </w:tc>
        <w:tc>
          <w:tcPr>
            <w:tcW w:w="1333" w:type="dxa"/>
          </w:tcPr>
          <w:p w:rsidR="00467814" w:rsidRDefault="00A65209" w:rsidP="005E26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Asap</w:t>
            </w:r>
          </w:p>
        </w:tc>
        <w:tc>
          <w:tcPr>
            <w:tcW w:w="6525" w:type="dxa"/>
          </w:tcPr>
          <w:p w:rsidR="00467814" w:rsidRDefault="00817C94" w:rsidP="00817C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arrangements for extended hours to be </w:t>
            </w:r>
            <w:r w:rsidR="00BB3EBA">
              <w:rPr>
                <w:sz w:val="24"/>
                <w:szCs w:val="24"/>
              </w:rPr>
              <w:t>advertised</w:t>
            </w:r>
            <w:r>
              <w:rPr>
                <w:sz w:val="24"/>
                <w:szCs w:val="24"/>
              </w:rPr>
              <w:t xml:space="preserve"> across other locations in the village</w:t>
            </w:r>
          </w:p>
        </w:tc>
      </w:tr>
      <w:tr w:rsidR="00467814" w:rsidTr="00A65209">
        <w:tc>
          <w:tcPr>
            <w:tcW w:w="1384" w:type="dxa"/>
          </w:tcPr>
          <w:p w:rsidR="00467814" w:rsidRDefault="00817C9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1333" w:type="dxa"/>
          </w:tcPr>
          <w:p w:rsidR="00467814" w:rsidRDefault="00817C94" w:rsidP="005E26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2019</w:t>
            </w:r>
          </w:p>
        </w:tc>
        <w:tc>
          <w:tcPr>
            <w:tcW w:w="6525" w:type="dxa"/>
          </w:tcPr>
          <w:p w:rsidR="00467814" w:rsidRPr="00817C94" w:rsidRDefault="00BB3EBA" w:rsidP="00467814">
            <w:pPr>
              <w:rPr>
                <w:sz w:val="24"/>
                <w:szCs w:val="24"/>
              </w:rPr>
            </w:pPr>
            <w:r w:rsidRPr="00817C94">
              <w:rPr>
                <w:sz w:val="24"/>
                <w:szCs w:val="24"/>
              </w:rPr>
              <w:t>Members</w:t>
            </w:r>
            <w:r w:rsidR="00817C94" w:rsidRPr="00817C94">
              <w:rPr>
                <w:sz w:val="24"/>
                <w:szCs w:val="24"/>
              </w:rPr>
              <w:t xml:space="preserve"> to run another </w:t>
            </w:r>
            <w:r w:rsidRPr="00817C94">
              <w:rPr>
                <w:sz w:val="24"/>
                <w:szCs w:val="24"/>
              </w:rPr>
              <w:t>patient</w:t>
            </w:r>
            <w:r w:rsidR="00817C94" w:rsidRPr="00817C94">
              <w:rPr>
                <w:sz w:val="24"/>
                <w:szCs w:val="24"/>
              </w:rPr>
              <w:t xml:space="preserve"> research exercise possibly a more </w:t>
            </w:r>
            <w:r w:rsidRPr="00817C94">
              <w:rPr>
                <w:sz w:val="24"/>
                <w:szCs w:val="24"/>
              </w:rPr>
              <w:t>qualitative</w:t>
            </w:r>
            <w:r w:rsidR="00817C94" w:rsidRPr="00817C94">
              <w:rPr>
                <w:sz w:val="24"/>
                <w:szCs w:val="24"/>
              </w:rPr>
              <w:t xml:space="preserve"> exercise such as focus group.</w:t>
            </w:r>
          </w:p>
        </w:tc>
      </w:tr>
      <w:tr w:rsidR="00467814" w:rsidTr="00A65209">
        <w:tc>
          <w:tcPr>
            <w:tcW w:w="1384" w:type="dxa"/>
          </w:tcPr>
          <w:p w:rsidR="00467814" w:rsidRDefault="00817C94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Sands</w:t>
            </w:r>
          </w:p>
        </w:tc>
        <w:tc>
          <w:tcPr>
            <w:tcW w:w="1333" w:type="dxa"/>
          </w:tcPr>
          <w:p w:rsidR="00467814" w:rsidRDefault="00817C94" w:rsidP="005E26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DONM</w:t>
            </w:r>
          </w:p>
        </w:tc>
        <w:tc>
          <w:tcPr>
            <w:tcW w:w="6525" w:type="dxa"/>
          </w:tcPr>
          <w:p w:rsidR="00467814" w:rsidRDefault="00817C94" w:rsidP="006E614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Update on implementation of Care navigation</w:t>
            </w:r>
          </w:p>
        </w:tc>
      </w:tr>
      <w:tr w:rsidR="0082266F" w:rsidTr="00A65209">
        <w:tc>
          <w:tcPr>
            <w:tcW w:w="1384" w:type="dxa"/>
          </w:tcPr>
          <w:p w:rsidR="0082266F" w:rsidRDefault="00BB3EBA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</w:p>
        </w:tc>
        <w:tc>
          <w:tcPr>
            <w:tcW w:w="1333" w:type="dxa"/>
          </w:tcPr>
          <w:p w:rsidR="0082266F" w:rsidRDefault="00BB3EBA" w:rsidP="005E26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DONM</w:t>
            </w:r>
          </w:p>
        </w:tc>
        <w:tc>
          <w:tcPr>
            <w:tcW w:w="6525" w:type="dxa"/>
          </w:tcPr>
          <w:p w:rsidR="0082266F" w:rsidRDefault="00BB3EBA" w:rsidP="00BB3EB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to consider possibilities of preventative group meetings</w:t>
            </w:r>
          </w:p>
        </w:tc>
      </w:tr>
      <w:tr w:rsidR="0082266F" w:rsidTr="00A65209">
        <w:tc>
          <w:tcPr>
            <w:tcW w:w="1384" w:type="dxa"/>
          </w:tcPr>
          <w:p w:rsidR="0082266F" w:rsidRDefault="00BB3EBA" w:rsidP="00467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coordinate</w:t>
            </w:r>
          </w:p>
        </w:tc>
        <w:tc>
          <w:tcPr>
            <w:tcW w:w="1333" w:type="dxa"/>
          </w:tcPr>
          <w:p w:rsidR="0082266F" w:rsidRDefault="00BB3EBA" w:rsidP="005E26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DONM</w:t>
            </w:r>
          </w:p>
        </w:tc>
        <w:tc>
          <w:tcPr>
            <w:tcW w:w="6525" w:type="dxa"/>
          </w:tcPr>
          <w:p w:rsidR="0082266F" w:rsidRDefault="00BB3EBA" w:rsidP="005E26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will prepare a general leaflet about the PPG</w:t>
            </w:r>
          </w:p>
        </w:tc>
      </w:tr>
    </w:tbl>
    <w:p w:rsidR="00267431" w:rsidRPr="001B31B0" w:rsidRDefault="00267431" w:rsidP="001B31B0">
      <w:pPr>
        <w:spacing w:after="0" w:line="240" w:lineRule="auto"/>
        <w:rPr>
          <w:rFonts w:ascii="Calibri" w:hAnsi="Calibri"/>
          <w:sz w:val="24"/>
          <w:szCs w:val="24"/>
        </w:rPr>
      </w:pPr>
    </w:p>
    <w:p w:rsidR="00267431" w:rsidRPr="004251E1" w:rsidRDefault="00267431" w:rsidP="004251E1">
      <w:pPr>
        <w:jc w:val="center"/>
        <w:rPr>
          <w:sz w:val="32"/>
          <w:szCs w:val="32"/>
        </w:rPr>
      </w:pPr>
    </w:p>
    <w:p w:rsidR="004251E1" w:rsidRPr="004251E1" w:rsidRDefault="004251E1" w:rsidP="004251E1">
      <w:pPr>
        <w:jc w:val="center"/>
        <w:rPr>
          <w:b/>
          <w:sz w:val="32"/>
          <w:szCs w:val="32"/>
        </w:rPr>
      </w:pPr>
    </w:p>
    <w:sectPr w:rsidR="004251E1" w:rsidRPr="004251E1" w:rsidSect="0082266F">
      <w:footerReference w:type="default" r:id="rId9"/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87" w:rsidRDefault="00643A87" w:rsidP="006E6147">
      <w:pPr>
        <w:spacing w:after="0" w:line="240" w:lineRule="auto"/>
      </w:pPr>
      <w:r>
        <w:separator/>
      </w:r>
    </w:p>
  </w:endnote>
  <w:endnote w:type="continuationSeparator" w:id="0">
    <w:p w:rsidR="00643A87" w:rsidRDefault="00643A87" w:rsidP="006E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009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EBA" w:rsidRDefault="00617A65">
        <w:pPr>
          <w:pStyle w:val="Footer"/>
          <w:jc w:val="center"/>
        </w:pPr>
        <w:r>
          <w:fldChar w:fldCharType="begin"/>
        </w:r>
        <w:r w:rsidR="00BB3EBA">
          <w:instrText xml:space="preserve"> PAGE   \* MERGEFORMAT </w:instrText>
        </w:r>
        <w:r>
          <w:fldChar w:fldCharType="separate"/>
        </w:r>
        <w:r w:rsidR="00A14E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EBA" w:rsidRDefault="00BB3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87" w:rsidRDefault="00643A87" w:rsidP="006E6147">
      <w:pPr>
        <w:spacing w:after="0" w:line="240" w:lineRule="auto"/>
      </w:pPr>
      <w:r>
        <w:separator/>
      </w:r>
    </w:p>
  </w:footnote>
  <w:footnote w:type="continuationSeparator" w:id="0">
    <w:p w:rsidR="00643A87" w:rsidRDefault="00643A87" w:rsidP="006E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218"/>
    <w:multiLevelType w:val="hybridMultilevel"/>
    <w:tmpl w:val="F9E0B50C"/>
    <w:lvl w:ilvl="0" w:tplc="DC0688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C33"/>
    <w:multiLevelType w:val="hybridMultilevel"/>
    <w:tmpl w:val="12106AB8"/>
    <w:lvl w:ilvl="0" w:tplc="DC0688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7F3"/>
    <w:multiLevelType w:val="hybridMultilevel"/>
    <w:tmpl w:val="2F7A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17B69"/>
    <w:multiLevelType w:val="hybridMultilevel"/>
    <w:tmpl w:val="7AEA03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C6D08"/>
    <w:multiLevelType w:val="hybridMultilevel"/>
    <w:tmpl w:val="453EC738"/>
    <w:lvl w:ilvl="0" w:tplc="DC0688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F26BD"/>
    <w:multiLevelType w:val="hybridMultilevel"/>
    <w:tmpl w:val="C166F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F3143"/>
    <w:multiLevelType w:val="hybridMultilevel"/>
    <w:tmpl w:val="C0FC065C"/>
    <w:lvl w:ilvl="0" w:tplc="DC0688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1E1"/>
    <w:rsid w:val="00082AE0"/>
    <w:rsid w:val="000909B1"/>
    <w:rsid w:val="000B4E8F"/>
    <w:rsid w:val="000C1099"/>
    <w:rsid w:val="00100BF7"/>
    <w:rsid w:val="00115597"/>
    <w:rsid w:val="00171B47"/>
    <w:rsid w:val="0017382B"/>
    <w:rsid w:val="00183C77"/>
    <w:rsid w:val="001A42B1"/>
    <w:rsid w:val="001B31B0"/>
    <w:rsid w:val="00267431"/>
    <w:rsid w:val="00286A44"/>
    <w:rsid w:val="002C778F"/>
    <w:rsid w:val="00317C74"/>
    <w:rsid w:val="003315A5"/>
    <w:rsid w:val="0034236B"/>
    <w:rsid w:val="00347542"/>
    <w:rsid w:val="00394F06"/>
    <w:rsid w:val="003B0A5F"/>
    <w:rsid w:val="004251E1"/>
    <w:rsid w:val="00453289"/>
    <w:rsid w:val="004658D4"/>
    <w:rsid w:val="00467814"/>
    <w:rsid w:val="004A3107"/>
    <w:rsid w:val="00501FFF"/>
    <w:rsid w:val="005248FF"/>
    <w:rsid w:val="00553126"/>
    <w:rsid w:val="00586ED3"/>
    <w:rsid w:val="005E2684"/>
    <w:rsid w:val="00617A65"/>
    <w:rsid w:val="00643A87"/>
    <w:rsid w:val="0065188B"/>
    <w:rsid w:val="00661335"/>
    <w:rsid w:val="0069221D"/>
    <w:rsid w:val="00695455"/>
    <w:rsid w:val="006B4FEF"/>
    <w:rsid w:val="006E6147"/>
    <w:rsid w:val="007672B8"/>
    <w:rsid w:val="007E0D8C"/>
    <w:rsid w:val="00805187"/>
    <w:rsid w:val="00817C94"/>
    <w:rsid w:val="0082266F"/>
    <w:rsid w:val="00835085"/>
    <w:rsid w:val="00870BBB"/>
    <w:rsid w:val="00876195"/>
    <w:rsid w:val="008913B4"/>
    <w:rsid w:val="00904CA9"/>
    <w:rsid w:val="00A14E2E"/>
    <w:rsid w:val="00A30272"/>
    <w:rsid w:val="00A37B72"/>
    <w:rsid w:val="00A55293"/>
    <w:rsid w:val="00A65209"/>
    <w:rsid w:val="00AA1C23"/>
    <w:rsid w:val="00AB4EEE"/>
    <w:rsid w:val="00AC3039"/>
    <w:rsid w:val="00AE463A"/>
    <w:rsid w:val="00AF055A"/>
    <w:rsid w:val="00B05B74"/>
    <w:rsid w:val="00B17B02"/>
    <w:rsid w:val="00B47FB8"/>
    <w:rsid w:val="00B61217"/>
    <w:rsid w:val="00B629AF"/>
    <w:rsid w:val="00B738CD"/>
    <w:rsid w:val="00B92C97"/>
    <w:rsid w:val="00BB3EBA"/>
    <w:rsid w:val="00BC075C"/>
    <w:rsid w:val="00BE610F"/>
    <w:rsid w:val="00BF591B"/>
    <w:rsid w:val="00C410A7"/>
    <w:rsid w:val="00C6010B"/>
    <w:rsid w:val="00C70265"/>
    <w:rsid w:val="00CE1DD9"/>
    <w:rsid w:val="00CF0E47"/>
    <w:rsid w:val="00D74394"/>
    <w:rsid w:val="00D9578B"/>
    <w:rsid w:val="00DA510B"/>
    <w:rsid w:val="00E11C90"/>
    <w:rsid w:val="00E14A6E"/>
    <w:rsid w:val="00E368D6"/>
    <w:rsid w:val="00E3701B"/>
    <w:rsid w:val="00E63131"/>
    <w:rsid w:val="00E97F1D"/>
    <w:rsid w:val="00EA4052"/>
    <w:rsid w:val="00EA7D0E"/>
    <w:rsid w:val="00EB6C34"/>
    <w:rsid w:val="00EC7A59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D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6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6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47"/>
  </w:style>
  <w:style w:type="paragraph" w:styleId="Footer">
    <w:name w:val="footer"/>
    <w:basedOn w:val="Normal"/>
    <w:link w:val="FooterChar"/>
    <w:uiPriority w:val="99"/>
    <w:unhideWhenUsed/>
    <w:rsid w:val="006E6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8D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6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6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47"/>
  </w:style>
  <w:style w:type="paragraph" w:styleId="Footer">
    <w:name w:val="footer"/>
    <w:basedOn w:val="Normal"/>
    <w:link w:val="FooterChar"/>
    <w:uiPriority w:val="99"/>
    <w:unhideWhenUsed/>
    <w:rsid w:val="006E6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CD7B-988E-47AE-8947-EA9362C2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Owner</cp:lastModifiedBy>
  <cp:revision>2</cp:revision>
  <cp:lastPrinted>2018-03-27T15:16:00Z</cp:lastPrinted>
  <dcterms:created xsi:type="dcterms:W3CDTF">2019-01-29T10:17:00Z</dcterms:created>
  <dcterms:modified xsi:type="dcterms:W3CDTF">2019-01-29T10:17:00Z</dcterms:modified>
</cp:coreProperties>
</file>